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eastAsiaTheme="minorEastAsia"/>
          <w:b/>
          <w:bCs/>
          <w:sz w:val="32"/>
          <w:szCs w:val="32"/>
          <w:lang w:eastAsia="zh-CN"/>
        </w:rPr>
      </w:pPr>
      <w:r>
        <w:rPr>
          <w:rFonts w:hint="eastAsia" w:eastAsiaTheme="minorEastAsia"/>
          <w:b/>
          <w:bCs/>
          <w:sz w:val="32"/>
          <w:szCs w:val="32"/>
          <w:lang w:eastAsia="zh-CN"/>
        </w:rPr>
        <w:t>日本个人旅游签证所需材料</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eastAsiaTheme="minor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一、个人观光签证申请基准</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1、具有一定的程度的经济能力：年收入人民币10万以上的人士。</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满足个人观光基准的申请者需提供如下资料：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512" w:rightChars="-244" w:firstLine="0" w:firstLineChars="0"/>
        <w:jc w:val="both"/>
        <w:textAlignment w:val="auto"/>
        <w:outlineLvl w:val="9"/>
        <w:rPr>
          <w:rFonts w:hint="eastAsia" w:ascii="宋体" w:hAnsi="宋体" w:eastAsia="宋体" w:cs="宋体"/>
          <w:b/>
          <w:bCs/>
          <w:sz w:val="24"/>
          <w:szCs w:val="24"/>
          <w:lang w:eastAsia="zh-CN"/>
        </w:rPr>
      </w:pPr>
      <w:r>
        <w:rPr>
          <w:rFonts w:hint="eastAsia" w:asciiTheme="majorEastAsia" w:hAnsiTheme="majorEastAsia" w:eastAsiaTheme="majorEastAsia" w:cstheme="majorEastAsia"/>
          <w:sz w:val="21"/>
          <w:szCs w:val="21"/>
          <w:lang w:eastAsia="zh-CN"/>
        </w:rPr>
        <w:t>1、正反面打印申请表并填写完整；</w:t>
      </w:r>
    </w:p>
    <w:p>
      <w:pPr>
        <w:keepNext w:val="0"/>
        <w:keepLines w:val="0"/>
        <w:pageBreakBefore w:val="0"/>
        <w:widowControl w:val="0"/>
        <w:kinsoku/>
        <w:wordWrap/>
        <w:overflowPunct/>
        <w:topLinePunct w:val="0"/>
        <w:autoSpaceDE/>
        <w:autoSpaceDN/>
        <w:bidi w:val="0"/>
        <w:adjustRightInd/>
        <w:snapToGrid/>
        <w:spacing w:line="360" w:lineRule="auto"/>
        <w:ind w:left="0" w:leftChars="0" w:right="-512" w:rightChars="-244" w:firstLine="0" w:firstLineChars="0"/>
        <w:jc w:val="both"/>
        <w:textAlignment w:val="auto"/>
        <w:outlineLvl w:val="9"/>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lang w:eastAsia="zh-CN"/>
        </w:rPr>
        <w:t>、 护照： 本人有效期半年以上因私护照（有</w:t>
      </w:r>
      <w:r>
        <w:rPr>
          <w:rFonts w:hint="eastAsia" w:asciiTheme="majorEastAsia" w:hAnsiTheme="majorEastAsia" w:eastAsiaTheme="majorEastAsia" w:cstheme="majorEastAsia"/>
          <w:sz w:val="21"/>
          <w:szCs w:val="21"/>
          <w:lang w:val="en-US" w:eastAsia="zh-CN"/>
        </w:rPr>
        <w:t>2页以上空白签证页，如有换发老护照请提供</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right="-512" w:rightChars="-244"/>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照片：本人2张近六个月内免冠正面白底彩照（尺寸</w:t>
      </w:r>
      <w:r>
        <w:rPr>
          <w:rFonts w:hint="eastAsia" w:ascii="宋体" w:hAnsi="宋体" w:eastAsia="宋体" w:cs="宋体"/>
          <w:sz w:val="21"/>
          <w:szCs w:val="21"/>
          <w:lang w:val="en-US" w:eastAsia="zh-CN"/>
        </w:rPr>
        <w:t>3.5cm*4.5cm或者4.5cm*4.5cm，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如果护照签发日期为六个月之前，不可使用与护照上同版的照片）；</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户口本：全家户口本复印件；</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身份证：本人身份证复印件；</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b/>
          <w:bCs/>
          <w:sz w:val="21"/>
          <w:szCs w:val="21"/>
          <w:lang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 xml:space="preserve"> 营业执照：本人工作单位营业执照（副本）复印件或组织机构代码证复印件，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并加盖公章；</w:t>
      </w:r>
      <w:bookmarkStart w:id="0" w:name="OLE_LINK1"/>
      <w:r>
        <w:rPr>
          <w:rFonts w:hint="eastAsia" w:ascii="宋体" w:hAnsi="宋体" w:eastAsia="宋体" w:cs="宋体"/>
          <w:sz w:val="21"/>
          <w:szCs w:val="21"/>
          <w:lang w:val="en-US" w:eastAsia="zh-CN"/>
        </w:rPr>
        <w:t>7、</w:t>
      </w:r>
      <w:r>
        <w:rPr>
          <w:rFonts w:hint="eastAsia" w:ascii="宋体" w:hAnsi="宋体" w:eastAsia="宋体" w:cs="宋体"/>
          <w:b/>
          <w:bCs/>
          <w:sz w:val="21"/>
          <w:szCs w:val="21"/>
          <w:lang w:eastAsia="zh-CN"/>
        </w:rPr>
        <w:t>在职证明：写明年薪</w:t>
      </w:r>
      <w:r>
        <w:rPr>
          <w:rFonts w:hint="eastAsia" w:ascii="宋体" w:hAnsi="宋体" w:eastAsia="宋体" w:cs="宋体"/>
          <w:b/>
          <w:bCs/>
          <w:sz w:val="21"/>
          <w:szCs w:val="21"/>
          <w:lang w:val="en-US" w:eastAsia="zh-CN"/>
        </w:rPr>
        <w:t>10</w:t>
      </w:r>
      <w:r>
        <w:rPr>
          <w:rFonts w:hint="eastAsia" w:ascii="宋体" w:hAnsi="宋体" w:eastAsia="宋体" w:cs="宋体"/>
          <w:b/>
          <w:bCs/>
          <w:sz w:val="21"/>
          <w:szCs w:val="21"/>
          <w:lang w:eastAsia="zh-CN"/>
        </w:rPr>
        <w:t>万元以上，用所在单位信笺纸打印并加盖公章</w:t>
      </w:r>
      <w:bookmarkEnd w:id="0"/>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b/>
          <w:bCs/>
          <w:color w:val="FF0000"/>
          <w:sz w:val="21"/>
          <w:szCs w:val="21"/>
          <w:lang w:val="en-US" w:eastAsia="zh-CN"/>
        </w:rPr>
        <w:t>8、</w:t>
      </w:r>
      <w:r>
        <w:rPr>
          <w:rFonts w:hint="eastAsia" w:ascii="宋体" w:hAnsi="宋体" w:eastAsia="宋体" w:cs="宋体"/>
          <w:b/>
          <w:bCs/>
          <w:color w:val="FF0000"/>
          <w:sz w:val="21"/>
          <w:szCs w:val="21"/>
          <w:lang w:eastAsia="zh-CN"/>
        </w:rPr>
        <w:t>经济能力证明，以下四选一提供：</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a 存款证明书：冻结三个月的存款证明书，金额10万元；</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CN"/>
        </w:rPr>
        <w:t>b 银行流水明细：打印半年以上，余额</w:t>
      </w:r>
      <w:r>
        <w:rPr>
          <w:rFonts w:hint="eastAsia" w:ascii="宋体" w:hAnsi="宋体" w:eastAsia="宋体" w:cs="宋体"/>
          <w:sz w:val="21"/>
          <w:szCs w:val="21"/>
          <w:lang w:val="en-US" w:eastAsia="zh-CN"/>
        </w:rPr>
        <w:t>10万元以上（中国銀行、工商銀行、浦发銀行、宁波銀行、光大銀行、中信銀行，银行明细要求有验证码的版本）；</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c 纳税证明（个人所得税）；</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 （额度高）的信用卡金卡以上级别</w:t>
      </w:r>
      <w:r>
        <w:rPr>
          <w:rFonts w:hint="eastAsia" w:ascii="Arial" w:hAnsi="Arial" w:cs="Arial"/>
          <w:sz w:val="20"/>
          <w:szCs w:val="22"/>
          <w:vertAlign w:val="baseline"/>
          <w:lang w:val="en-US" w:eastAsia="zh-CN"/>
        </w:rPr>
        <w:t>（</w:t>
      </w:r>
      <w:r>
        <w:rPr>
          <w:rFonts w:hint="eastAsia" w:ascii="Arial" w:hAnsi="Arial" w:cs="Arial"/>
          <w:b/>
          <w:bCs/>
          <w:sz w:val="20"/>
          <w:szCs w:val="22"/>
          <w:vertAlign w:val="baseline"/>
          <w:lang w:val="en-US" w:eastAsia="zh-CN"/>
        </w:rPr>
        <w:t>确认申请人与信用卡持有人为同一人的彩色复印件和近一个月内的单笔消费凭证</w:t>
      </w:r>
      <w:r>
        <w:rPr>
          <w:rFonts w:hint="eastAsia" w:ascii="Arial" w:hAnsi="Arial" w:cs="Arial"/>
          <w:sz w:val="20"/>
          <w:szCs w:val="22"/>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提供不出以上三种条件的富裕人群：可提供资产形成的根据等证明材料（如房产证、股票交割单、存折原件（过去6个月内记录）、纳税证明、土地租赁合同、土地登记证、遗产继承证明、其他证明经济能力的资料）以上经济证明材料由领馆判断是否认可；</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资产证明：房产证（无抵押情况）；</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暂住证：户籍所在地与常住地址不一的需提供本人常住地暂住证复印件。</w:t>
      </w:r>
      <w:bookmarkStart w:id="1" w:name="_GoBack"/>
      <w:bookmarkEnd w:id="1"/>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512" w:rightChars="-244" w:firstLine="0" w:firstLine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满足个人观光基准的申请者（以下简称本人）的家属，需另外提供如下资料：</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1、与本人一同申请赴旅游时，必须为本人三亲等以内的人士，需提供户口簿或亲属关系公证书；</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2、不与本人一同赴旅游时，必须为本人二亲等以内的人士，需提供：</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a 户口簿或亲属关系公证书；</w:t>
      </w:r>
    </w:p>
    <w:p>
      <w:pPr>
        <w:keepNext w:val="0"/>
        <w:keepLines w:val="0"/>
        <w:pageBreakBefore w:val="0"/>
        <w:widowControl w:val="0"/>
        <w:kinsoku/>
        <w:wordWrap/>
        <w:overflowPunct/>
        <w:topLinePunct w:val="0"/>
        <w:autoSpaceDE/>
        <w:autoSpaceDN/>
        <w:bidi w:val="0"/>
        <w:adjustRightInd/>
        <w:snapToGrid/>
        <w:spacing w:line="400" w:lineRule="exact"/>
        <w:ind w:left="0" w:leftChars="0" w:right="-512" w:rightChars="-244" w:firstLine="0" w:firstLineChars="0"/>
        <w:jc w:val="both"/>
        <w:textAlignment w:val="auto"/>
        <w:outlineLvl w:val="9"/>
        <w:rPr>
          <w:rFonts w:hint="eastAsia" w:eastAsia="宋体"/>
          <w:sz w:val="28"/>
          <w:szCs w:val="28"/>
          <w:lang w:eastAsia="zh-CN"/>
        </w:rPr>
      </w:pPr>
      <w:r>
        <w:rPr>
          <w:rFonts w:hint="eastAsia" w:ascii="宋体" w:hAnsi="宋体" w:eastAsia="宋体" w:cs="宋体"/>
          <w:sz w:val="21"/>
          <w:szCs w:val="21"/>
          <w:lang w:eastAsia="zh-CN"/>
        </w:rPr>
        <w:t>b证明本人的经济能力证明资料。</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swiss"/>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lucida Grand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alatino Linotype">
    <w:panose1 w:val="02040502050505030304"/>
    <w:charset w:val="00"/>
    <w:family w:val="auto"/>
    <w:pitch w:val="default"/>
    <w:sig w:usb0="E0000287" w:usb1="40000013" w:usb2="00000000"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b/>
        <w:bCs/>
        <w:sz w:val="18"/>
        <w:szCs w:val="18"/>
      </w:rPr>
    </w:pPr>
    <w:r>
      <w:rPr>
        <w:rFonts w:hint="eastAsia"/>
        <w:b/>
        <w:bCs/>
        <w:sz w:val="18"/>
        <w:szCs w:val="18"/>
        <w:lang w:eastAsia="zh-CN"/>
      </w:rPr>
      <w:t>地址：</w:t>
    </w:r>
    <w:r>
      <w:rPr>
        <w:rFonts w:hint="eastAsia"/>
        <w:b/>
        <w:bCs/>
        <w:sz w:val="18"/>
        <w:szCs w:val="18"/>
      </w:rPr>
      <w:t>江西省南昌市红谷滩新区红谷中大道998号绿地中央广场C1峰创国际2108室</w:t>
    </w:r>
  </w:p>
  <w:p>
    <w:pPr>
      <w:pStyle w:val="2"/>
      <w:rPr>
        <w:rFonts w:hint="eastAsia" w:eastAsiaTheme="minorEastAsia"/>
        <w:b/>
        <w:bCs/>
        <w:sz w:val="18"/>
        <w:szCs w:val="18"/>
        <w:lang w:eastAsia="zh-CN"/>
      </w:rPr>
    </w:pPr>
    <w:r>
      <w:rPr>
        <w:rFonts w:hint="eastAsia"/>
        <w:b/>
        <w:bCs/>
        <w:sz w:val="18"/>
        <w:szCs w:val="18"/>
        <w:lang w:eastAsia="zh-CN"/>
      </w:rPr>
      <w:t>网址：</w:t>
    </w:r>
    <w:r>
      <w:rPr>
        <w:rFonts w:hint="eastAsia"/>
        <w:b/>
        <w:bCs/>
        <w:sz w:val="18"/>
        <w:szCs w:val="18"/>
        <w:lang w:val="en-US" w:eastAsia="zh-CN"/>
      </w:rPr>
      <w:fldChar w:fldCharType="begin"/>
    </w:r>
    <w:r>
      <w:rPr>
        <w:rFonts w:hint="eastAsia"/>
        <w:b/>
        <w:bCs/>
        <w:sz w:val="18"/>
        <w:szCs w:val="18"/>
        <w:lang w:val="en-US" w:eastAsia="zh-CN"/>
      </w:rPr>
      <w:instrText xml:space="preserve"> HYPERLINK "http://www.visajx.com" </w:instrText>
    </w:r>
    <w:r>
      <w:rPr>
        <w:rFonts w:hint="eastAsia"/>
        <w:b/>
        <w:bCs/>
        <w:sz w:val="18"/>
        <w:szCs w:val="18"/>
        <w:lang w:val="en-US" w:eastAsia="zh-CN"/>
      </w:rPr>
      <w:fldChar w:fldCharType="separate"/>
    </w:r>
    <w:r>
      <w:rPr>
        <w:rStyle w:val="6"/>
        <w:rFonts w:hint="eastAsia"/>
        <w:b/>
        <w:bCs/>
        <w:sz w:val="18"/>
        <w:szCs w:val="18"/>
        <w:lang w:val="en-US" w:eastAsia="zh-CN"/>
      </w:rPr>
      <w:t>www.visajx.com</w:t>
    </w:r>
    <w:r>
      <w:rPr>
        <w:rFonts w:hint="eastAsia"/>
        <w:b/>
        <w:bCs/>
        <w:sz w:val="18"/>
        <w:szCs w:val="18"/>
        <w:lang w:val="en-US" w:eastAsia="zh-CN"/>
      </w:rPr>
      <w:fldChar w:fldCharType="end"/>
    </w:r>
    <w:r>
      <w:rPr>
        <w:rFonts w:hint="eastAsia"/>
        <w:b/>
        <w:bCs/>
        <w:sz w:val="18"/>
        <w:szCs w:val="18"/>
        <w:lang w:val="en-US" w:eastAsia="zh-CN"/>
      </w:rPr>
      <w:t xml:space="preserve">           电话：0791-82883333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Theme="minorEastAsia"/>
        <w:lang w:eastAsia="zh-CN"/>
      </w:rPr>
    </w:pPr>
    <w:r>
      <w:rPr>
        <w:rFonts w:hint="eastAsia" w:eastAsiaTheme="minorEastAsia"/>
        <w:lang w:eastAsia="zh-CN"/>
      </w:rPr>
      <w:drawing>
        <wp:inline distT="0" distB="0" distL="114300" distR="114300">
          <wp:extent cx="4563110" cy="714375"/>
          <wp:effectExtent l="0" t="0" r="8890" b="9525"/>
          <wp:docPr id="1" name="图片 1" descr="1497408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97408246(1)"/>
                  <pic:cNvPicPr>
                    <a:picLocks noChangeAspect="1"/>
                  </pic:cNvPicPr>
                </pic:nvPicPr>
                <pic:blipFill>
                  <a:blip r:embed="rId1"/>
                  <a:stretch>
                    <a:fillRect/>
                  </a:stretch>
                </pic:blipFill>
                <pic:spPr>
                  <a:xfrm>
                    <a:off x="0" y="0"/>
                    <a:ext cx="4563110" cy="7143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124E3"/>
    <w:multiLevelType w:val="singleLevel"/>
    <w:tmpl w:val="57E124E3"/>
    <w:lvl w:ilvl="0" w:tentative="0">
      <w:start w:val="3"/>
      <w:numFmt w:val="chineseCounting"/>
      <w:suff w:val="nothing"/>
      <w:lvlText w:val="%1、"/>
      <w:lvlJc w:val="left"/>
    </w:lvl>
  </w:abstractNum>
  <w:abstractNum w:abstractNumId="1">
    <w:nsid w:val="5948E707"/>
    <w:multiLevelType w:val="singleLevel"/>
    <w:tmpl w:val="5948E707"/>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23C2D"/>
    <w:rsid w:val="05D92B8A"/>
    <w:rsid w:val="093A0C0E"/>
    <w:rsid w:val="0AE15F38"/>
    <w:rsid w:val="0B524B95"/>
    <w:rsid w:val="149D703D"/>
    <w:rsid w:val="24E51A75"/>
    <w:rsid w:val="2B4030CC"/>
    <w:rsid w:val="3123652A"/>
    <w:rsid w:val="345401CC"/>
    <w:rsid w:val="431C7693"/>
    <w:rsid w:val="45EB3D41"/>
    <w:rsid w:val="58F747CB"/>
    <w:rsid w:val="5D7A3491"/>
    <w:rsid w:val="5F720D6F"/>
    <w:rsid w:val="60121021"/>
    <w:rsid w:val="61CA6A57"/>
    <w:rsid w:val="624E2016"/>
    <w:rsid w:val="6CA660D1"/>
    <w:rsid w:val="78FE0157"/>
    <w:rsid w:val="79643708"/>
    <w:rsid w:val="79F233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普通(Web)"/>
    <w:basedOn w:val="1"/>
    <w:qFormat/>
    <w:uiPriority w:val="0"/>
    <w:pPr>
      <w:widowControl/>
      <w:spacing w:before="100" w:beforeLines="0" w:beforeAutospacing="0" w:after="100" w:afterLines="0" w:afterAutospacing="0"/>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2017-06-20T09:10:26Z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